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1271"/>
        <w:gridCol w:w="428"/>
        <w:gridCol w:w="5669"/>
        <w:gridCol w:w="1700"/>
        <w:gridCol w:w="3509"/>
        <w:gridCol w:w="134"/>
      </w:tblGrid>
      <w:tr w:rsidR="001320FB" w:rsidRPr="00B50ADF">
        <w:trPr>
          <w:trHeight w:val="1417"/>
        </w:trPr>
        <w:tc>
          <w:tcPr>
            <w:tcW w:w="1417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271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428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566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700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350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34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</w:tr>
      <w:tr w:rsidR="001320FB" w:rsidRPr="00B50ADF">
        <w:trPr>
          <w:trHeight w:val="226"/>
        </w:trPr>
        <w:tc>
          <w:tcPr>
            <w:tcW w:w="1417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271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428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5669" w:type="dxa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69"/>
            </w:tblGrid>
            <w:tr w:rsidR="001320FB" w:rsidRPr="00B50ADF">
              <w:trPr>
                <w:trHeight w:val="674"/>
              </w:trPr>
              <w:tc>
                <w:tcPr>
                  <w:tcW w:w="566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center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22"/>
                      <w:lang w:val="tr-TR"/>
                    </w:rPr>
                    <w:t>Türkiye Ürün İhtisas Borsası</w:t>
                  </w:r>
                </w:p>
                <w:p w:rsidR="001320FB" w:rsidRPr="00B50ADF" w:rsidRDefault="00DF2927" w:rsidP="00027476">
                  <w:pPr>
                    <w:spacing w:after="0" w:line="240" w:lineRule="auto"/>
                    <w:jc w:val="center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22"/>
                      <w:lang w:val="tr-TR"/>
                    </w:rPr>
                    <w:t>23 - 27 Haziran 2025 Haftası Tarım Ürünleri Piyasası Bülteni</w:t>
                  </w:r>
                </w:p>
              </w:tc>
            </w:tr>
          </w:tbl>
          <w:p w:rsidR="001320FB" w:rsidRPr="00B50ADF" w:rsidRDefault="001320FB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1700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350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34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</w:tr>
      <w:tr w:rsidR="001320FB" w:rsidRPr="00B50ADF">
        <w:trPr>
          <w:trHeight w:val="375"/>
        </w:trPr>
        <w:tc>
          <w:tcPr>
            <w:tcW w:w="1417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0FB" w:rsidRPr="00B50ADF" w:rsidRDefault="00DF2927">
            <w:pPr>
              <w:spacing w:after="0" w:line="240" w:lineRule="auto"/>
              <w:rPr>
                <w:lang w:val="tr-TR"/>
              </w:rPr>
            </w:pPr>
            <w:r w:rsidRPr="00B50ADF">
              <w:rPr>
                <w:noProof/>
                <w:lang w:val="tr-TR"/>
              </w:rPr>
              <w:drawing>
                <wp:inline distT="0" distB="0" distL="0" distR="0">
                  <wp:extent cx="795866" cy="238759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866" cy="23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5669" w:type="dxa"/>
            <w:vMerge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700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350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34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</w:tr>
      <w:tr w:rsidR="001320FB" w:rsidRPr="00B50ADF">
        <w:trPr>
          <w:trHeight w:val="149"/>
        </w:trPr>
        <w:tc>
          <w:tcPr>
            <w:tcW w:w="1417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271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428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5669" w:type="dxa"/>
            <w:vMerge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700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350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34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</w:tr>
      <w:tr w:rsidR="001320FB" w:rsidRPr="00B50ADF">
        <w:trPr>
          <w:trHeight w:val="261"/>
        </w:trPr>
        <w:tc>
          <w:tcPr>
            <w:tcW w:w="1417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271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428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566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700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350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34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</w:tr>
      <w:tr w:rsidR="00027476" w:rsidRPr="00B50ADF" w:rsidTr="00027476">
        <w:trPr>
          <w:trHeight w:val="5867"/>
        </w:trPr>
        <w:tc>
          <w:tcPr>
            <w:tcW w:w="1417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27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68"/>
            </w:tblGrid>
            <w:tr w:rsidR="001320FB" w:rsidRPr="00B50ADF">
              <w:trPr>
                <w:trHeight w:val="5867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u w:val="single"/>
                      <w:lang w:val="tr-TR"/>
                    </w:rPr>
                    <w:t>Elektronik Ürün Senedi Piyasası</w:t>
                  </w:r>
                </w:p>
                <w:p w:rsidR="001320FB" w:rsidRPr="00B50ADF" w:rsidRDefault="001320FB">
                  <w:pPr>
                    <w:spacing w:after="0" w:line="240" w:lineRule="auto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Tarım ürünlerinin işlem gördüğü Türkiye Ürün İhtisas Borsası (TÜRİB) Elektronik Ürün Senedi (ELÜS) Piyasasında işlem hacminde öne çıkan Arpa, Buğday ve Mısır ürünleri için fiyat gelişimi aşağıda verilmektedir: </w:t>
                  </w:r>
                </w:p>
                <w:p w:rsidR="001320FB" w:rsidRPr="00B50ADF" w:rsidRDefault="001320FB">
                  <w:pPr>
                    <w:spacing w:after="0" w:line="240" w:lineRule="auto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Buğday Ekmeklik: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En çok işlemin gerçekleştiği "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Buğday Ekmeklik Beyaz 2.Sınıf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" ürünler;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23 Haziran Pazartesi 12,90 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TL/</w:t>
                  </w:r>
                  <w:proofErr w:type="spellStart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kg'den</w:t>
                  </w:r>
                  <w:proofErr w:type="spellEnd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açılmış ve ağırlıklı ortalama fiyatı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12,95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TL/kg,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 27 Haziran Cuma 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günü ağırlıklı ortalama fiyatı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13,23 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TL/kg olmuştur. Tüm Ekmeklik Buğday ürünlerinde haftalık işlem ortalaması ise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12,92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TL/kg olarak gerçekleşmiştir. </w:t>
                  </w:r>
                </w:p>
                <w:p w:rsidR="001320FB" w:rsidRPr="00B50ADF" w:rsidRDefault="001320FB">
                  <w:p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Buğday Makarnalık: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En çok işlemin gerçekleştiği "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Buğday Makarnalık 3.Sınıf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" ürünler;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23 Haziran Pazartesi 12,10 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TL/</w:t>
                  </w:r>
                  <w:proofErr w:type="spellStart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kg'den</w:t>
                  </w:r>
                  <w:proofErr w:type="spellEnd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açılmış ve ağırlıklı ortalama fiyatı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12,39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TL/kg,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 27 Haziran Cuma 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günü ağırlıklı ortalama fiyatı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13,00 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TL/kg olmuştur. Tüm Makarnalık Buğday ürünlerinde haftalık işlem ortalaması ise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13,12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TL/kg olarak gerçekleşmiştir. </w:t>
                  </w:r>
                </w:p>
                <w:p w:rsidR="001320FB" w:rsidRPr="00B50ADF" w:rsidRDefault="001320FB">
                  <w:pPr>
                    <w:spacing w:after="0" w:line="240" w:lineRule="auto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Mısır: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Pazartesi 11,00 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TL/</w:t>
                  </w:r>
                  <w:proofErr w:type="spellStart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kg'den</w:t>
                  </w:r>
                  <w:proofErr w:type="spellEnd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açılan ve ağırlıklı ortalama fiyatı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 11,63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TL/kg olan Mısır'ın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Cuma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günü ağırlıklı ortalama fiyatı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 11,39 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TL/kg olmuştur. Haftalık işlem ortalaması ise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 11,47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TL/</w:t>
                  </w:r>
                  <w:proofErr w:type="spellStart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kg'den</w:t>
                  </w:r>
                  <w:proofErr w:type="spellEnd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gerçekleşmiştir. </w:t>
                  </w:r>
                </w:p>
                <w:p w:rsidR="001320FB" w:rsidRPr="00B50ADF" w:rsidRDefault="001320FB">
                  <w:pPr>
                    <w:spacing w:after="0" w:line="240" w:lineRule="auto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Arpa: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Pazartesi 11,10 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TL/</w:t>
                  </w:r>
                  <w:proofErr w:type="spellStart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kg'den</w:t>
                  </w:r>
                  <w:proofErr w:type="spellEnd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açılan ve ağırlıklı ortalama fiyatı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 11,01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TL/kg olan </w:t>
                  </w:r>
                  <w:proofErr w:type="spellStart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Arpa'nın</w:t>
                  </w:r>
                  <w:proofErr w:type="spellEnd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Perşembe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günü ağırlıklı ortalama fiyatı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 11,00 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TL/kg olmuştur. Haftalık işlem ortalaması ise</w:t>
                  </w: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 xml:space="preserve"> 11,01</w:t>
                  </w: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TL/</w:t>
                  </w:r>
                  <w:proofErr w:type="spellStart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kg'den</w:t>
                  </w:r>
                  <w:proofErr w:type="spellEnd"/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 xml:space="preserve"> gerçekleşmiştir. </w:t>
                  </w:r>
                </w:p>
                <w:p w:rsidR="001320FB" w:rsidRPr="00B50ADF" w:rsidRDefault="001320FB">
                  <w:pPr>
                    <w:spacing w:after="0" w:line="240" w:lineRule="auto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u w:val="single"/>
                      <w:lang w:val="tr-TR"/>
                    </w:rPr>
                    <w:t>TÜRİB Tarımsal Ürün Fiyat Endeksleri</w:t>
                  </w:r>
                </w:p>
                <w:p w:rsidR="001320FB" w:rsidRPr="00B50ADF" w:rsidRDefault="001320FB">
                  <w:pPr>
                    <w:spacing w:after="0" w:line="240" w:lineRule="auto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Başlangıç tarihi 1 Nisan 2021 ve başlangıç değeri 1000 olan fiyat endekslerinin haftalık gelişimi ve haftanın son iş günü itibariyle, son 1 yılda kaydettiği fiyat değişim oranları aşağıda verilmektedir:</w:t>
                  </w:r>
                </w:p>
                <w:p w:rsidR="001320FB" w:rsidRPr="00B50ADF" w:rsidRDefault="001320FB">
                  <w:pPr>
                    <w:spacing w:after="0" w:line="240" w:lineRule="auto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>TÜRİB Buğday Ekmeklik Endeksi: 23.06.2025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6.071,51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seviyesinde,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27.06.2025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günü ise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6.097,07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seviyesinde kapanmıştır. Haftalık değişim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%0,42,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yıllık değişim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%45,02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olmuştur.</w:t>
                  </w:r>
                </w:p>
                <w:p w:rsidR="001320FB" w:rsidRPr="00B50ADF" w:rsidRDefault="001320FB">
                  <w:p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>TÜRİB Buğday Endeksi: 23.06.2025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5.805,91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seviyesinde,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27.06.2025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günü ise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5.850,75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seviyesinde kapanmıştır. Haftalık değişim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%0,77,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yıllık değişim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%38,02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olmuştur.</w:t>
                  </w:r>
                </w:p>
                <w:p w:rsidR="001320FB" w:rsidRPr="00B50ADF" w:rsidRDefault="001320FB">
                  <w:p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>TÜRİB Buğday Makarnalık Endeksi: 23.06.2025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5.879,69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seviyesinde,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27.06.2025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günü ise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6.026,49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seviyesinde kapanmıştır. Haftalık değişim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%2,50,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yıllık değişim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%40,18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olmuştur.</w:t>
                  </w:r>
                </w:p>
                <w:p w:rsidR="001320FB" w:rsidRPr="00B50ADF" w:rsidRDefault="001320FB">
                  <w:p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>TÜRİB Hububat Endeksi: 23.06.2025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5.721,75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seviyesinde,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27.06.2025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günü ise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5.728,98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seviyesinde kapanmıştır. . Haftalık değişim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%0,13,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yıllık değişim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%35,56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olmuştur.</w:t>
                  </w:r>
                </w:p>
                <w:p w:rsidR="001320FB" w:rsidRPr="00B50ADF" w:rsidRDefault="001320FB">
                  <w:p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</w:p>
                <w:p w:rsidR="001320FB" w:rsidRPr="00B50ADF" w:rsidRDefault="00DF2927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720" w:hanging="360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>TÜRİB Mısır Endeksi: 23.06.2025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6.289,84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seviyesinde,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27.06.2025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günü ise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6.158,47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seviyesinde kapanmıştır. Haftalık değişim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-%2,09,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 xml:space="preserve">yıllık değişim </w:t>
                  </w: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 xml:space="preserve">%44,89 </w:t>
                  </w: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olmuştur.</w:t>
                  </w:r>
                </w:p>
              </w:tc>
            </w:tr>
          </w:tbl>
          <w:p w:rsidR="001320FB" w:rsidRPr="00B50ADF" w:rsidRDefault="001320FB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350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34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</w:tr>
      <w:tr w:rsidR="001320FB" w:rsidRPr="00B50ADF">
        <w:trPr>
          <w:trHeight w:val="175"/>
        </w:trPr>
        <w:tc>
          <w:tcPr>
            <w:tcW w:w="1417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271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428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566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700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350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34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</w:tr>
      <w:tr w:rsidR="00027476" w:rsidRPr="00B50ADF" w:rsidTr="00027476">
        <w:tc>
          <w:tcPr>
            <w:tcW w:w="1417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271" w:type="dxa"/>
            <w:gridSpan w:val="5"/>
          </w:tcPr>
          <w:tbl>
            <w:tblPr>
              <w:tblW w:w="0" w:type="auto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5"/>
              <w:gridCol w:w="1728"/>
              <w:gridCol w:w="1743"/>
              <w:gridCol w:w="1578"/>
              <w:gridCol w:w="2232"/>
              <w:gridCol w:w="2173"/>
            </w:tblGrid>
            <w:tr w:rsidR="001320FB" w:rsidRPr="00B50ADF">
              <w:trPr>
                <w:trHeight w:val="282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Endeks Adı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23.06.2025 Kapanış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27.06.2025 Kapanış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b/>
                      <w:color w:val="000000"/>
                      <w:sz w:val="16"/>
                      <w:lang w:val="tr-TR"/>
                    </w:rPr>
                    <w:t>Haftalık Değişim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>27.06.2025 İtibarıyla Yılbaşına Göre Değişim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b/>
                      <w:color w:val="000000"/>
                      <w:sz w:val="16"/>
                      <w:lang w:val="tr-TR"/>
                    </w:rPr>
                    <w:t>27.06.2025 İtibarıyla Yıllık Değişim</w:t>
                  </w:r>
                </w:p>
              </w:tc>
            </w:tr>
            <w:tr w:rsidR="001320FB" w:rsidRPr="00B50ADF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TÜRİB Arpa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5.812,32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5.812,32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0,00%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32,44%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55,99%</w:t>
                  </w:r>
                </w:p>
              </w:tc>
            </w:tr>
            <w:tr w:rsidR="001320FB" w:rsidRPr="00B50ADF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TÜRİB Buğday Ekmeklik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6.071,51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6.097,07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0,42%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18,56%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45,02%</w:t>
                  </w:r>
                </w:p>
              </w:tc>
            </w:tr>
            <w:tr w:rsidR="001320FB" w:rsidRPr="00B50ADF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TÜRİB Buğday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5.805,91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5.850,75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0,77%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14,98%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38,02%</w:t>
                  </w:r>
                </w:p>
              </w:tc>
            </w:tr>
            <w:tr w:rsidR="001320FB" w:rsidRPr="00B50ADF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TÜRİB Buğday Makarnalık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5.879,69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6.026,49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2,50%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10,51%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40,18%</w:t>
                  </w:r>
                </w:p>
              </w:tc>
            </w:tr>
            <w:tr w:rsidR="001320FB" w:rsidRPr="00B50ADF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TÜRİB Hububat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5.721,75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5.728,98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0,13%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16,80%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35,56%</w:t>
                  </w:r>
                </w:p>
              </w:tc>
            </w:tr>
            <w:tr w:rsidR="001320FB" w:rsidRPr="00B50ADF">
              <w:trPr>
                <w:trHeight w:val="221"/>
              </w:trPr>
              <w:tc>
                <w:tcPr>
                  <w:tcW w:w="3118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TÜRİB Mısır Endeksi</w:t>
                  </w:r>
                </w:p>
              </w:tc>
              <w:tc>
                <w:tcPr>
                  <w:tcW w:w="172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6.289,84</w:t>
                  </w:r>
                </w:p>
              </w:tc>
              <w:tc>
                <w:tcPr>
                  <w:tcW w:w="174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6.158,47</w:t>
                  </w:r>
                </w:p>
              </w:tc>
              <w:tc>
                <w:tcPr>
                  <w:tcW w:w="157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-2,09%</w:t>
                  </w:r>
                </w:p>
              </w:tc>
              <w:tc>
                <w:tcPr>
                  <w:tcW w:w="223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Arial" w:eastAsia="Arial" w:hAnsi="Arial"/>
                      <w:color w:val="000000"/>
                      <w:sz w:val="16"/>
                      <w:lang w:val="tr-TR"/>
                    </w:rPr>
                    <w:t>31,41%</w:t>
                  </w:r>
                </w:p>
              </w:tc>
              <w:tc>
                <w:tcPr>
                  <w:tcW w:w="2175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320FB" w:rsidRPr="00B50ADF" w:rsidRDefault="00DF2927">
                  <w:pPr>
                    <w:spacing w:after="0" w:line="240" w:lineRule="auto"/>
                    <w:jc w:val="right"/>
                    <w:rPr>
                      <w:lang w:val="tr-TR"/>
                    </w:rPr>
                  </w:pPr>
                  <w:r w:rsidRPr="00B50ADF">
                    <w:rPr>
                      <w:rFonts w:ascii="Segoe UI" w:eastAsia="Segoe UI" w:hAnsi="Segoe UI"/>
                      <w:color w:val="000000"/>
                      <w:sz w:val="16"/>
                      <w:lang w:val="tr-TR"/>
                    </w:rPr>
                    <w:t>44,89%</w:t>
                  </w:r>
                </w:p>
              </w:tc>
            </w:tr>
          </w:tbl>
          <w:p w:rsidR="001320FB" w:rsidRPr="00B50ADF" w:rsidRDefault="001320FB">
            <w:pPr>
              <w:spacing w:after="0" w:line="240" w:lineRule="auto"/>
              <w:rPr>
                <w:lang w:val="tr-TR"/>
              </w:rPr>
            </w:pPr>
          </w:p>
        </w:tc>
        <w:tc>
          <w:tcPr>
            <w:tcW w:w="134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</w:tr>
      <w:tr w:rsidR="001320FB" w:rsidRPr="00B50ADF">
        <w:trPr>
          <w:trHeight w:val="1031"/>
        </w:trPr>
        <w:tc>
          <w:tcPr>
            <w:tcW w:w="1417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271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428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566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700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3509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  <w:tc>
          <w:tcPr>
            <w:tcW w:w="134" w:type="dxa"/>
          </w:tcPr>
          <w:p w:rsidR="001320FB" w:rsidRPr="00B50ADF" w:rsidRDefault="001320FB">
            <w:pPr>
              <w:pStyle w:val="EmptyCellLayoutStyle"/>
              <w:spacing w:after="0" w:line="240" w:lineRule="auto"/>
              <w:rPr>
                <w:lang w:val="tr-TR"/>
              </w:rPr>
            </w:pPr>
          </w:p>
        </w:tc>
      </w:tr>
    </w:tbl>
    <w:p w:rsidR="001320FB" w:rsidRPr="00B50ADF" w:rsidRDefault="001320FB">
      <w:pPr>
        <w:spacing w:after="0" w:line="240" w:lineRule="auto"/>
        <w:rPr>
          <w:lang w:val="tr-TR"/>
        </w:rPr>
      </w:pPr>
    </w:p>
    <w:sectPr w:rsidR="001320FB" w:rsidRPr="00B50ADF">
      <w:pgSz w:w="14133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FB"/>
    <w:rsid w:val="00027476"/>
    <w:rsid w:val="001320FB"/>
    <w:rsid w:val="00B50ADF"/>
    <w:rsid w:val="00CD1304"/>
    <w:rsid w:val="00D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2F16E-4670-4AC6-B507-52CEE8DA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TURIS Haftalik_Tarim_Urunleri_Piyasasi_Bulteni</vt:lpstr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TURIS Haftalik_Tarim_Urunleri_Piyasasi_Bulteni</dc:title>
  <dc:creator>AHMET HAŞİM AKAY</dc:creator>
  <dc:description/>
  <cp:lastModifiedBy>AHMET HAŞİM AKAY</cp:lastModifiedBy>
  <cp:revision>2</cp:revision>
  <dcterms:created xsi:type="dcterms:W3CDTF">2025-06-30T06:41:00Z</dcterms:created>
  <dcterms:modified xsi:type="dcterms:W3CDTF">2025-06-30T06:41:00Z</dcterms:modified>
</cp:coreProperties>
</file>